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12DB3"/>
    <w:p w14:paraId="342FD7A3"/>
    <w:p w14:paraId="44258E26"/>
    <w:p w14:paraId="5CC2ED30"/>
    <w:p w14:paraId="300842E7"/>
    <w:p w14:paraId="04C6EC89"/>
    <w:p w14:paraId="4C6CF4EE"/>
    <w:p w14:paraId="7D66C203"/>
    <w:p w14:paraId="294DAFC3"/>
    <w:p w14:paraId="16E7A393"/>
    <w:p w14:paraId="44882676"/>
    <w:p w14:paraId="2D627711"/>
    <w:p w14:paraId="1E35C21D">
      <w:pPr>
        <w:jc w:val="center"/>
        <w:rPr>
          <w:rFonts w:hint="eastAsia" w:ascii="华文中宋" w:hAnsi="华文中宋" w:eastAsia="华文中宋" w:cs="华文中宋"/>
          <w:sz w:val="144"/>
          <w:szCs w:val="144"/>
          <w:lang w:val="en-US" w:eastAsia="zh-CN"/>
        </w:rPr>
      </w:pPr>
      <w:r>
        <w:rPr>
          <w:rFonts w:hint="eastAsia" w:ascii="华文中宋" w:hAnsi="华文中宋" w:eastAsia="华文中宋" w:cs="华文中宋"/>
          <w:sz w:val="144"/>
          <w:szCs w:val="144"/>
          <w:lang w:val="en-US" w:eastAsia="zh-CN"/>
        </w:rPr>
        <w:t>大学语文</w:t>
      </w:r>
    </w:p>
    <w:p w14:paraId="38F0CBD1">
      <w:pPr>
        <w:jc w:val="center"/>
        <w:rPr>
          <w:rFonts w:hint="eastAsia" w:ascii="华文中宋" w:hAnsi="华文中宋" w:eastAsia="华文中宋" w:cs="华文中宋"/>
          <w:sz w:val="72"/>
          <w:szCs w:val="72"/>
          <w:lang w:val="en-US" w:eastAsia="zh-CN"/>
        </w:rPr>
      </w:pPr>
      <w:r>
        <w:rPr>
          <w:rFonts w:hint="eastAsia" w:ascii="华文中宋" w:hAnsi="华文中宋" w:eastAsia="华文中宋" w:cs="华文中宋"/>
          <w:sz w:val="72"/>
          <w:szCs w:val="72"/>
          <w:lang w:val="en-US" w:eastAsia="zh-CN"/>
        </w:rPr>
        <w:t>（第三版）</w:t>
      </w:r>
    </w:p>
    <w:p w14:paraId="7CF57C07">
      <w:pPr>
        <w:jc w:val="center"/>
        <w:rPr>
          <w:rFonts w:hint="default" w:ascii="华文中宋" w:hAnsi="华文中宋" w:eastAsia="华文中宋" w:cs="华文中宋"/>
          <w:sz w:val="144"/>
          <w:szCs w:val="144"/>
          <w:lang w:val="en-US" w:eastAsia="zh-CN"/>
        </w:rPr>
      </w:pPr>
      <w:r>
        <w:rPr>
          <w:rFonts w:hint="eastAsia" w:ascii="华文中宋" w:hAnsi="华文中宋" w:eastAsia="华文中宋" w:cs="华文中宋"/>
          <w:color w:val="70AD47" w:themeColor="accent6"/>
          <w:sz w:val="96"/>
          <w:szCs w:val="96"/>
          <w:lang w:val="en-US" w:eastAsia="zh-CN"/>
          <w14:textFill>
            <w14:solidFill>
              <w14:schemeClr w14:val="accent6"/>
            </w14:solidFill>
          </w14:textFill>
        </w:rPr>
        <w:t>教案</w:t>
      </w:r>
    </w:p>
    <w:p w14:paraId="773175AF">
      <w:pPr>
        <w:jc w:val="center"/>
        <w:rPr>
          <w:rFonts w:hint="default" w:ascii="华文中宋" w:hAnsi="华文中宋" w:eastAsia="华文中宋" w:cs="华文中宋"/>
          <w:sz w:val="18"/>
          <w:szCs w:val="18"/>
          <w:lang w:val="en-US" w:eastAsia="zh-CN"/>
        </w:rPr>
        <w:sectPr>
          <w:headerReference r:id="rId5" w:type="first"/>
          <w:headerReference r:id="rId3" w:type="default"/>
          <w:headerReference r:id="rId4" w:type="even"/>
          <w:footerReference r:id="rId6" w:type="even"/>
          <w:pgSz w:w="11906" w:h="16838"/>
          <w:pgMar w:top="0" w:right="57" w:bottom="0" w:left="57" w:header="567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7AE86631">
      <w:pPr>
        <w:keepNext w:val="0"/>
        <w:keepLines w:val="0"/>
        <w:widowControl/>
        <w:suppressLineNumbers w:val="0"/>
        <w:jc w:val="center"/>
        <w:rPr>
          <w:rFonts w:hint="default" w:ascii="华文中宋" w:hAnsi="华文中宋" w:eastAsia="华文中宋" w:cs="华文中宋"/>
          <w:sz w:val="36"/>
          <w:szCs w:val="36"/>
          <w:lang w:val="en-US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第五章  </w:t>
      </w:r>
      <w:r>
        <w:rPr>
          <w:rFonts w:hint="eastAsia" w:ascii="华文中宋" w:hAnsi="华文中宋" w:eastAsia="华文中宋" w:cs="华文中宋"/>
          <w:color w:val="548235" w:themeColor="accent6" w:themeShade="BF"/>
          <w:kern w:val="0"/>
          <w:sz w:val="36"/>
          <w:szCs w:val="36"/>
          <w:lang w:val="en-US" w:eastAsia="zh-CN" w:bidi="ar"/>
        </w:rPr>
        <w:t>散文</w:t>
      </w:r>
    </w:p>
    <w:tbl>
      <w:tblPr>
        <w:tblStyle w:val="6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3667F1FB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53D990F0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7AEAE06E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011E05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7E506234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DD78BCE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71909EA8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5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0197E96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0854DD0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0BC18993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519CF1FE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327055B3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13E63FD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1237A738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18E6A6F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44823CD1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C3212E3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章  散文</w:t>
            </w:r>
          </w:p>
        </w:tc>
      </w:tr>
      <w:tr w14:paraId="3D475614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01BB2728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E2019CE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第一节  古代散文</w:t>
            </w:r>
          </w:p>
        </w:tc>
      </w:tr>
      <w:tr w14:paraId="7C9E5045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62C00E59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CAF9E35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理解古代散文</w:t>
            </w:r>
          </w:p>
        </w:tc>
      </w:tr>
      <w:tr w14:paraId="3B276C6A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77B31640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F18E5B3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古代散文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赏析</w:t>
            </w:r>
          </w:p>
        </w:tc>
      </w:tr>
      <w:tr w14:paraId="052DC5D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77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F775E38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63329CD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66B15F56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C1956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中国散文历史悠久而漫长，积淀深厚而广博。古代为区别韵文、骈文，凡不押韵、不重排偶的散体文章，包括经、传、史书在内，一律称为散文。</w:t>
            </w:r>
          </w:p>
        </w:tc>
      </w:tr>
      <w:tr w14:paraId="793A5DA3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6E930F8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68DAF77F">
            <w:pPr>
              <w:pStyle w:val="5"/>
              <w:spacing w:before="0" w:beforeAutospacing="0" w:after="0" w:afterAutospacing="0" w:line="360" w:lineRule="auto"/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第一节   古代散文</w:t>
            </w:r>
          </w:p>
          <w:p w14:paraId="6606EC79">
            <w:pPr>
              <w:pStyle w:val="5"/>
              <w:spacing w:before="0" w:beforeAutospacing="0" w:after="0" w:afterAutospacing="0"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《邵公谏弭谤（《国语·周语上》）》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  <w:p w14:paraId="2B5303FB">
            <w:pPr>
              <w:pStyle w:val="11"/>
              <w:spacing w:before="0" w:beforeAutospacing="0" w:after="0" w:afterAutospacing="0" w:line="360" w:lineRule="auto"/>
              <w:ind w:firstLine="42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题解</w:t>
            </w:r>
          </w:p>
          <w:p w14:paraId="54E6DF59">
            <w:pPr>
              <w:pStyle w:val="11"/>
              <w:spacing w:before="0" w:beforeAutospacing="0" w:after="0" w:afterAutospacing="0" w:line="360" w:lineRule="auto"/>
              <w:ind w:firstLine="42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注释</w:t>
            </w:r>
          </w:p>
          <w:p w14:paraId="5F50E282">
            <w:pPr>
              <w:pStyle w:val="11"/>
              <w:spacing w:before="0" w:beforeAutospacing="0" w:after="0" w:afterAutospacing="0"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赏析</w:t>
            </w:r>
          </w:p>
          <w:p w14:paraId="5CE9F6A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二、《张中丞传后叙》  </w:t>
            </w:r>
          </w:p>
          <w:p w14:paraId="194693CE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注释</w:t>
            </w:r>
          </w:p>
          <w:p w14:paraId="6C529829">
            <w:pPr>
              <w:spacing w:line="360" w:lineRule="auto"/>
              <w:ind w:firstLine="42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赏析</w:t>
            </w:r>
          </w:p>
          <w:p w14:paraId="5DFD27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60" w:afterAutospacing="0" w:line="330" w:lineRule="atLeast"/>
              <w:ind w:left="0" w:righ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三、《</w:t>
            </w:r>
            <w:r>
              <w:rPr>
                <w:rFonts w:ascii="方正粗圆_GBK" w:hAnsi="方正粗圆_GBK" w:eastAsia="方正粗圆_GBK" w:cs="方正粗圆_GBK"/>
                <w:color w:val="auto"/>
                <w:kern w:val="0"/>
                <w:sz w:val="22"/>
                <w:szCs w:val="22"/>
                <w:lang w:val="en-US" w:eastAsia="zh-CN" w:bidi="ar"/>
              </w:rPr>
              <w:t>钴</w:t>
            </w:r>
            <w:r>
              <w:rPr>
                <w:color w:val="auto"/>
              </w:rPr>
              <w:drawing>
                <wp:inline distT="0" distB="0" distL="114300" distR="114300">
                  <wp:extent cx="146685" cy="179705"/>
                  <wp:effectExtent l="0" t="0" r="5715" b="1079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方正粗圆_GBK" w:hAnsi="方正粗圆_GBK" w:eastAsia="方正粗圆_GBK" w:cs="方正粗圆_GBK"/>
                <w:color w:val="auto"/>
                <w:kern w:val="0"/>
                <w:sz w:val="22"/>
                <w:szCs w:val="22"/>
                <w:lang w:val="en-US" w:eastAsia="zh-CN" w:bidi="ar"/>
              </w:rPr>
              <w:t>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西小丘记》  </w:t>
            </w:r>
          </w:p>
          <w:p w14:paraId="00847660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注释</w:t>
            </w:r>
          </w:p>
          <w:p w14:paraId="0D9BDFFE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赏析</w:t>
            </w:r>
          </w:p>
          <w:p w14:paraId="2CBDAEA8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四、《秋声赋》  </w:t>
            </w:r>
          </w:p>
          <w:p w14:paraId="2FA5E1C7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注释</w:t>
            </w:r>
          </w:p>
          <w:p w14:paraId="1053CD90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赏析</w:t>
            </w:r>
          </w:p>
        </w:tc>
      </w:tr>
      <w:tr w14:paraId="1305069F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6677C0F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80D631B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古代散文</w:t>
            </w:r>
          </w:p>
        </w:tc>
      </w:tr>
      <w:tr w14:paraId="34C026BA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6DE34B1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5E2EC4E">
            <w:pPr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多数评论文章认为《秋声赋》是在宣扬老庄清心寡欲的养生之道，情调消极低沉。你怎么理解？</w:t>
            </w:r>
          </w:p>
        </w:tc>
      </w:tr>
      <w:tr w14:paraId="440E842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2452420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EC55379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313B9911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068A39FF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15A84F35">
      <w:pPr>
        <w:rPr>
          <w:rFonts w:hint="default" w:eastAsiaTheme="minorEastAsia"/>
          <w:lang w:val="en-US" w:eastAsia="zh-CN"/>
        </w:rPr>
      </w:pPr>
    </w:p>
    <w:p w14:paraId="3135F6EF">
      <w:pPr>
        <w:rPr>
          <w:rFonts w:hint="default" w:eastAsiaTheme="minorEastAsia"/>
          <w:lang w:val="en-US" w:eastAsia="zh-CN"/>
        </w:rPr>
      </w:pPr>
    </w:p>
    <w:tbl>
      <w:tblPr>
        <w:tblStyle w:val="6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4BD1A9A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58E6A476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6E0EEB2C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0E69E4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3989CC99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F7651F1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2B97B613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5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30AAF5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02E326B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345AB8C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32C753BB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6D655D89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6CC7C23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07F294FE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166FCC63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4F62AFB0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DACD5F6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第五章  散文</w:t>
            </w:r>
          </w:p>
        </w:tc>
      </w:tr>
      <w:tr w14:paraId="7F3ABB37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18830A1D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7D39322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第二节  现代散文</w:t>
            </w:r>
          </w:p>
        </w:tc>
      </w:tr>
      <w:tr w14:paraId="369A80E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037C39F0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1A77438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熟悉现代散文</w:t>
            </w:r>
          </w:p>
        </w:tc>
      </w:tr>
      <w:tr w14:paraId="520AEADC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50B6ACE4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9915C82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现代散文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的赏析</w:t>
            </w:r>
          </w:p>
        </w:tc>
      </w:tr>
      <w:tr w14:paraId="4F53712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77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51A3F51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650F3892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1323B699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C80FE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现代散文是五四时期受五四启蒙运动的影响，在吸收外来思潮以及继承中国古代散文传统的基础上发展起来的，最早出现的是以议论文为主的杂感文，陈独秀是“杂感录”这一文体的开创者。</w:t>
            </w:r>
          </w:p>
        </w:tc>
      </w:tr>
      <w:tr w14:paraId="0CB4A3E2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0B95043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34AFA5DE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第二节  现代散文</w:t>
            </w:r>
          </w:p>
          <w:p w14:paraId="5E39DCF3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一、《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庄周买水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》</w:t>
            </w:r>
          </w:p>
          <w:p w14:paraId="1998E6D2">
            <w:pPr>
              <w:spacing w:line="360" w:lineRule="auto"/>
              <w:ind w:firstLine="42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注释</w:t>
            </w:r>
          </w:p>
          <w:p w14:paraId="0C383271">
            <w:pPr>
              <w:spacing w:line="360" w:lineRule="auto"/>
              <w:ind w:firstLine="42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赏析</w:t>
            </w:r>
          </w:p>
          <w:p w14:paraId="421185BF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二、《爱尔克的灯光》</w:t>
            </w:r>
          </w:p>
          <w:p w14:paraId="6C4C46B2">
            <w:pPr>
              <w:spacing w:line="360" w:lineRule="auto"/>
              <w:ind w:firstLine="42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赏析</w:t>
            </w:r>
          </w:p>
          <w:p w14:paraId="190D09F2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三、《废墟》</w:t>
            </w:r>
          </w:p>
          <w:p w14:paraId="4A7FE72E">
            <w:pPr>
              <w:spacing w:line="360" w:lineRule="auto"/>
              <w:ind w:firstLine="42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评析</w:t>
            </w:r>
          </w:p>
        </w:tc>
      </w:tr>
      <w:tr w14:paraId="6033F381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4AB4EE2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426F098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现代散文</w:t>
            </w:r>
          </w:p>
        </w:tc>
      </w:tr>
      <w:tr w14:paraId="63A06307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761FCBD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EA8D0E7">
            <w:pPr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体会《忆傅雷》是如何揭示人物个性的。</w:t>
            </w:r>
          </w:p>
        </w:tc>
      </w:tr>
      <w:tr w14:paraId="34E804E4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326C0AA4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3874DFA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2833B785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2D8513CC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224C47E7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369F96C8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5F4D64BD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6B00ECAF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151AB599">
      <w:pPr>
        <w:rPr>
          <w:rFonts w:hint="default" w:eastAsiaTheme="minorEastAsia"/>
          <w:lang w:val="en-US" w:eastAsia="zh-CN"/>
        </w:rPr>
      </w:pPr>
    </w:p>
    <w:p w14:paraId="799B8B15">
      <w:pPr>
        <w:rPr>
          <w:rFonts w:hint="default" w:eastAsiaTheme="minorEastAsia"/>
          <w:lang w:val="en-US" w:eastAsia="zh-CN"/>
        </w:rPr>
      </w:pPr>
    </w:p>
    <w:p w14:paraId="711280CA">
      <w:pPr>
        <w:rPr>
          <w:rFonts w:hint="default" w:eastAsiaTheme="minorEastAsia"/>
          <w:lang w:val="en-US" w:eastAsia="zh-CN"/>
        </w:rPr>
      </w:pPr>
    </w:p>
    <w:p w14:paraId="42A42BB1">
      <w:pPr>
        <w:rPr>
          <w:rFonts w:hint="default" w:eastAsiaTheme="minorEastAsia"/>
          <w:lang w:val="en-US" w:eastAsia="zh-CN"/>
        </w:rPr>
      </w:pPr>
    </w:p>
    <w:p w14:paraId="5160E078">
      <w:pPr>
        <w:rPr>
          <w:rFonts w:hint="default" w:eastAsiaTheme="minorEastAsia"/>
          <w:lang w:val="en-US" w:eastAsia="zh-CN"/>
        </w:rPr>
      </w:pPr>
    </w:p>
    <w:p w14:paraId="6DDE2184">
      <w:pPr>
        <w:rPr>
          <w:rFonts w:hint="default" w:eastAsiaTheme="minorEastAsia"/>
          <w:lang w:val="en-US" w:eastAsia="zh-CN"/>
        </w:rPr>
      </w:pPr>
    </w:p>
    <w:p w14:paraId="3DEBE8D7">
      <w:pPr>
        <w:rPr>
          <w:rFonts w:hint="default" w:eastAsiaTheme="minorEastAsia"/>
          <w:lang w:val="en-US" w:eastAsia="zh-CN"/>
        </w:rPr>
      </w:pPr>
    </w:p>
    <w:p w14:paraId="592ADE57">
      <w:pPr>
        <w:rPr>
          <w:rFonts w:hint="default" w:eastAsiaTheme="minorEastAsia"/>
          <w:lang w:val="en-US" w:eastAsia="zh-CN"/>
        </w:rPr>
      </w:pPr>
    </w:p>
    <w:tbl>
      <w:tblPr>
        <w:tblStyle w:val="6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15ABF25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16832026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077BA37E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43035B14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7A11941A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B7B7A2A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52BADD8C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5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5F45F98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270F63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7F5B57BC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0DC2B94A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43F68284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4AB20AD9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51AFC318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457B88C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47CA5F6B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2C20687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第五章  散文</w:t>
            </w:r>
          </w:p>
        </w:tc>
      </w:tr>
      <w:tr w14:paraId="44EC8AD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1B3BE2CF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DBA8DFB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第三节  外国散文</w:t>
            </w:r>
          </w:p>
        </w:tc>
      </w:tr>
      <w:tr w14:paraId="31D80A77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7993A9F8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8C06A6D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了解外国散文</w:t>
            </w:r>
          </w:p>
        </w:tc>
      </w:tr>
      <w:tr w14:paraId="5B2259A5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3E8EB6D9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F696C82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外国散文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赏析</w:t>
            </w:r>
          </w:p>
        </w:tc>
      </w:tr>
      <w:tr w14:paraId="33C5B56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77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AABAFB3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16BBB90C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0EA36E01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E1015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外国散文，浩如烟海。名家群星璀璨，佳作异彩纷呈：或饱含哲思，深沉隽永；或清新质朴，恍若天籁；或激情如炽，诗意纵横；或嬉笑怒骂，酣畅淋漓。本节选取了拉宾、罗曼·罗兰、川端康成三位获诺贝尔奖的名人的经典作品。这些作品，有的长于抒情，有的侧重叙事，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有的长于说理，在思想、艺术的风格多样等方面，都很值得学习和了解。</w:t>
            </w:r>
          </w:p>
        </w:tc>
      </w:tr>
      <w:tr w14:paraId="4E11C11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7866C45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20661A5A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第三节  外国散文</w:t>
            </w:r>
          </w:p>
          <w:p w14:paraId="14A701A2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《战争，还是和平》</w:t>
            </w:r>
          </w:p>
          <w:p w14:paraId="3B6216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注释</w:t>
            </w:r>
          </w:p>
          <w:p w14:paraId="2E0FD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赏析</w:t>
            </w:r>
          </w:p>
          <w:p w14:paraId="23F71B91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二、《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弥盖朗琪罗传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》</w:t>
            </w:r>
          </w:p>
          <w:p w14:paraId="7F5BC8A7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注释</w:t>
            </w:r>
          </w:p>
          <w:p w14:paraId="2C1A9EC1"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赏析</w:t>
            </w:r>
          </w:p>
          <w:p w14:paraId="28F02B55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三、《我的伊豆》</w:t>
            </w:r>
          </w:p>
          <w:p w14:paraId="64B37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赏析</w:t>
            </w:r>
          </w:p>
        </w:tc>
      </w:tr>
      <w:tr w14:paraId="14563A45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67D4173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2E884B3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外国散文</w:t>
            </w:r>
          </w:p>
        </w:tc>
      </w:tr>
      <w:tr w14:paraId="2B04CE11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12B620F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994F65B">
            <w:pPr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阅读川端康成描写伊豆的其他作品，感悟其作品“显示了自然的生命与人类的生命的结合”。</w:t>
            </w:r>
          </w:p>
        </w:tc>
      </w:tr>
      <w:tr w14:paraId="37748EC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0E53756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A155D75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05641152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12F9C286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59825581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7E617F88">
      <w:pPr>
        <w:rPr>
          <w:rFonts w:hint="default" w:eastAsiaTheme="minorEastAsia"/>
          <w:lang w:val="en-US" w:eastAsia="zh-CN"/>
        </w:rPr>
      </w:pPr>
    </w:p>
    <w:p w14:paraId="05C2772A">
      <w:pPr>
        <w:rPr>
          <w:rFonts w:hint="default" w:eastAsiaTheme="minorEastAsia"/>
          <w:lang w:val="en-US" w:eastAsia="zh-CN"/>
        </w:rPr>
      </w:pPr>
    </w:p>
    <w:p w14:paraId="14BB7185">
      <w:pPr>
        <w:rPr>
          <w:rFonts w:hint="default" w:eastAsiaTheme="minorEastAsia"/>
          <w:lang w:val="en-US" w:eastAsia="zh-CN"/>
        </w:rPr>
      </w:pPr>
    </w:p>
    <w:p w14:paraId="62D667E2">
      <w:pPr>
        <w:rPr>
          <w:rFonts w:hint="default" w:eastAsiaTheme="minorEastAsia"/>
          <w:lang w:val="en-US" w:eastAsia="zh-CN"/>
        </w:rPr>
      </w:pPr>
    </w:p>
    <w:p w14:paraId="7D83BC93">
      <w:pPr>
        <w:rPr>
          <w:rFonts w:hint="default" w:eastAsiaTheme="minorEastAsia"/>
          <w:lang w:val="en-US" w:eastAsia="zh-CN"/>
        </w:rPr>
      </w:pPr>
    </w:p>
    <w:p w14:paraId="08BC094D">
      <w:pPr>
        <w:rPr>
          <w:rFonts w:hint="default" w:eastAsiaTheme="minorEastAsia"/>
          <w:lang w:val="en-US" w:eastAsia="zh-CN"/>
        </w:rPr>
      </w:pPr>
    </w:p>
    <w:p w14:paraId="751E18C6">
      <w:pPr>
        <w:rPr>
          <w:rFonts w:hint="default" w:eastAsiaTheme="minorEastAsia"/>
          <w:lang w:val="en-US" w:eastAsia="zh-CN"/>
        </w:rPr>
      </w:pPr>
    </w:p>
    <w:p w14:paraId="7F146C11">
      <w:pPr>
        <w:rPr>
          <w:rFonts w:hint="default" w:eastAsiaTheme="minorEastAsia"/>
          <w:lang w:val="en-US" w:eastAsia="zh-CN"/>
        </w:rPr>
      </w:pPr>
    </w:p>
    <w:p w14:paraId="2BF78469">
      <w:pPr>
        <w:rPr>
          <w:rFonts w:hint="default" w:eastAsiaTheme="minorEastAsia"/>
          <w:lang w:val="en-US" w:eastAsia="zh-CN"/>
        </w:rPr>
      </w:pPr>
    </w:p>
    <w:sectPr>
      <w:pgSz w:w="11906" w:h="16838"/>
      <w:pgMar w:top="0" w:right="57" w:bottom="0" w:left="57" w:header="567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粗圆_GB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CE1CB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C6EB5">
    <w:pPr>
      <w:pStyle w:val="4"/>
      <w:pBdr>
        <w:bottom w:val="none" w:color="auto" w:sz="0" w:space="1"/>
      </w:pBdr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-22225</wp:posOffset>
          </wp:positionH>
          <wp:positionV relativeFrom="page">
            <wp:posOffset>-28575</wp:posOffset>
          </wp:positionV>
          <wp:extent cx="7581900" cy="10729595"/>
          <wp:effectExtent l="0" t="0" r="0" b="14605"/>
          <wp:wrapNone/>
          <wp:docPr id="3" name="图片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900" cy="10729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142240</wp:posOffset>
              </wp:positionH>
              <wp:positionV relativeFrom="paragraph">
                <wp:posOffset>-139700</wp:posOffset>
              </wp:positionV>
              <wp:extent cx="7200265" cy="10278745"/>
              <wp:effectExtent l="6350" t="6350" r="13335" b="20955"/>
              <wp:wrapNone/>
              <wp:docPr id="4" name="圆角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265" cy="10278745"/>
                      </a:xfrm>
                      <a:prstGeom prst="roundRect">
                        <a:avLst>
                          <a:gd name="adj" fmla="val 1336"/>
                        </a:avLst>
                      </a:prstGeom>
                      <a:solidFill>
                        <a:schemeClr val="bg1">
                          <a:alpha val="85000"/>
                        </a:schemeClr>
                      </a:solidFill>
                      <a:ln>
                        <a:gradFill>
                          <a:gsLst>
                            <a:gs pos="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74000">
                              <a:schemeClr val="accent6">
                                <a:lumMod val="75000"/>
                              </a:schemeClr>
                            </a:gs>
                            <a:gs pos="83000">
                              <a:schemeClr val="accent6">
                                <a:lumMod val="75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</a:schemeClr>
                            </a:gs>
                          </a:gsLst>
                          <a:lin ang="5400000" scaled="1"/>
                        </a:gradFill>
                      </a:ln>
                    </wps:spPr>
                    <wps:style>
                      <a:lnRef idx="2">
                        <a:schemeClr val="accent1">
                          <a:lumMod val="7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rgbClr val="FFFFFF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_x0000_s1026" o:spid="_x0000_s1026" o:spt="2" style="position:absolute;left:0pt;margin-left:11.2pt;margin-top:-11pt;height:809.35pt;width:566.95pt;z-index:251661312;v-text-anchor:middle;mso-width-relative:page;mso-height-relative:page;" fillcolor="#FFFFFF [3212]" filled="t" stroked="t" coordsize="21600,21600" arcsize="0.0133796296296296" o:gfxdata="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lLKHFNwAAAAMAQAADwAAAAAAAAABACAAAAAiAAAAZHJzL2Rvd25yZXYueG1sUEsBAhQA&#10;FAAAAAgAh07iQCEroEgLAwAAygYAAA4AAAAAAAAAAQAgAAAAKwEAAGRycy9lMm9Eb2MueG1sUEsF&#10;BgAAAAAGAAYAWQEAAKgGAAAAAA==&#10;">
              <v:fill on="t" opacity="55705f" focussize="0,0"/>
              <v:stroke weight="1pt" color="#000000" miterlimit="8" joinstyle="miter"/>
              <v:imagedata o:title=""/>
              <o:lock v:ext="edit" aspectratio="f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4C5F38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67AD8">
    <w:pPr>
      <w:pStyle w:val="4"/>
      <w:pBdr>
        <w:bottom w:val="none" w:color="auto" w:sz="0" w:space="1"/>
      </w:pBd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59264" behindDoc="1" locked="0" layoutInCell="1" allowOverlap="1">
          <wp:simplePos x="0" y="0"/>
          <wp:positionH relativeFrom="column">
            <wp:posOffset>-88265</wp:posOffset>
          </wp:positionH>
          <wp:positionV relativeFrom="paragraph">
            <wp:posOffset>-1028065</wp:posOffset>
          </wp:positionV>
          <wp:extent cx="7659370" cy="11359515"/>
          <wp:effectExtent l="0" t="0" r="17780" b="13335"/>
          <wp:wrapNone/>
          <wp:docPr id="5" name="图片 5" descr="470a7ab2355db5d4f1260b70ba7410b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470a7ab2355db5d4f1260b70ba7410b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59370" cy="11359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6A44B50"/>
    <w:rsid w:val="003E6BF2"/>
    <w:rsid w:val="00653C79"/>
    <w:rsid w:val="00FA41FE"/>
    <w:rsid w:val="00FF725C"/>
    <w:rsid w:val="17312619"/>
    <w:rsid w:val="1C9B0684"/>
    <w:rsid w:val="26A44B50"/>
    <w:rsid w:val="28187A54"/>
    <w:rsid w:val="35D64779"/>
    <w:rsid w:val="385357F5"/>
    <w:rsid w:val="51170698"/>
    <w:rsid w:val="65422E2C"/>
    <w:rsid w:val="66FB3677"/>
    <w:rsid w:val="71234381"/>
    <w:rsid w:val="71DB3E22"/>
    <w:rsid w:val="7705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basedOn w:val="7"/>
    <w:semiHidden/>
    <w:unhideWhenUsed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1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iaoyu\AppData\Roaming\kingsoft\office6\templates\download\0be81bf4-714a-405d-815d-6ec0b8d06d58\&#35199;&#28246;&#40100;&#40060;&#21807;&#32654;&#32972;&#26223;&#23553;&#38754;&#20449;&#32440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西湖鲤鱼唯美背景封面信纸.docx</Template>
  <Pages>4</Pages>
  <Words>580</Words>
  <Characters>580</Characters>
  <Lines>0</Lines>
  <Paragraphs>0</Paragraphs>
  <TotalTime>4</TotalTime>
  <ScaleCrop>false</ScaleCrop>
  <LinksUpToDate>false</LinksUpToDate>
  <CharactersWithSpaces>676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2025-05-06T01:10:00Z</dcterms:created>
  <dc:creator>六月</dc:creator>
  <cp:lastModifiedBy>六月</cp:lastModifiedBy>
  <dcterms:modified xsi:type="dcterms:W3CDTF">2025-05-06T06:58:25Z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UUID">
    <vt:lpwstr>v1.0_mb_cdxO6VPnxjGh/jnjmOZiCA==</vt:lpwstr>
  </property>
  <property fmtid="{D5CDD505-2E9C-101B-9397-08002B2CF9AE}" pid="4" name="ICV">
    <vt:lpwstr>EEC03B3B729D45BA8EB4CEFD615406D7_13</vt:lpwstr>
  </property>
  <property fmtid="{D5CDD505-2E9C-101B-9397-08002B2CF9AE}" pid="5" name="KSOTemplateDocerSaveRecord">
    <vt:lpwstr>eyJoZGlkIjoiOTcxZjc4Y2ViNTBlZDVmZTI3YTAxZGE1NWVmM2E2NDEiLCJ1c2VySWQiOiI0MDMzMDA2MzYifQ==</vt:lpwstr>
  </property>
</Properties>
</file>